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AD" w:rsidRDefault="00750BAD" w:rsidP="00750BAD">
      <w:pPr>
        <w:pStyle w:val="ncanheader2"/>
        <w:numPr>
          <w:ilvl w:val="0"/>
          <w:numId w:val="0"/>
        </w:numPr>
        <w:ind w:left="426" w:hanging="426"/>
        <w:jc w:val="right"/>
        <w:rPr>
          <w:color w:val="404040" w:themeColor="text1" w:themeTint="BF"/>
          <w:sz w:val="32"/>
        </w:rPr>
      </w:pPr>
      <w:r>
        <w:rPr>
          <w:noProof/>
          <w:color w:val="404040" w:themeColor="text1" w:themeTint="BF"/>
          <w:sz w:val="32"/>
        </w:rPr>
        <w:drawing>
          <wp:inline distT="0" distB="0" distL="0" distR="0">
            <wp:extent cx="1870513" cy="809625"/>
            <wp:effectExtent l="0" t="0" r="0" b="0"/>
            <wp:docPr id="1" name="Picture 1" descr="S:\NCAN\Logos\3041_NCAN_logo_final_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CAN\Logos\3041_NCAN_logo_final_2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55" cy="81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56" w:rsidRPr="006A3045" w:rsidRDefault="006A3045" w:rsidP="00B73B56">
      <w:pPr>
        <w:pStyle w:val="ncanheader2"/>
        <w:numPr>
          <w:ilvl w:val="0"/>
          <w:numId w:val="0"/>
        </w:numPr>
        <w:ind w:left="426" w:hanging="426"/>
        <w:rPr>
          <w:color w:val="404040" w:themeColor="text1" w:themeTint="BF"/>
          <w:sz w:val="32"/>
        </w:rPr>
      </w:pPr>
      <w:r>
        <w:rPr>
          <w:color w:val="404040" w:themeColor="text1" w:themeTint="BF"/>
          <w:sz w:val="32"/>
        </w:rPr>
        <w:t>NCAN F</w:t>
      </w:r>
      <w:r w:rsidRPr="006A3045">
        <w:rPr>
          <w:color w:val="404040" w:themeColor="text1" w:themeTint="BF"/>
          <w:sz w:val="32"/>
        </w:rPr>
        <w:t xml:space="preserve">our Tier Model </w:t>
      </w:r>
      <w:r>
        <w:rPr>
          <w:color w:val="404040" w:themeColor="text1" w:themeTint="BF"/>
          <w:sz w:val="32"/>
        </w:rPr>
        <w:t>o</w:t>
      </w:r>
      <w:r w:rsidRPr="006A3045">
        <w:rPr>
          <w:color w:val="404040" w:themeColor="text1" w:themeTint="BF"/>
          <w:sz w:val="32"/>
        </w:rPr>
        <w:t>f Advice</w:t>
      </w:r>
    </w:p>
    <w:p w:rsidR="00D31FF5" w:rsidRPr="00174209" w:rsidRDefault="00D31FF5" w:rsidP="00750BAD">
      <w:pPr>
        <w:shd w:val="clear" w:color="auto" w:fill="FFFFFF"/>
        <w:spacing w:before="100" w:beforeAutospacing="1" w:after="100" w:afterAutospacing="1" w:line="264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 xml:space="preserve">The NCAN Four Tier Model of Advice sets </w:t>
      </w:r>
      <w:r w:rsidRPr="0017420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out some key distinctions between types of information and advice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 xml:space="preserve"> and also includes categories of related support. </w:t>
      </w:r>
      <w:r w:rsidR="009E544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I</w:t>
      </w:r>
      <w:bookmarkStart w:id="0" w:name="_GoBack"/>
      <w:bookmarkEnd w:id="0"/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 xml:space="preserve">t is hoped this model will </w:t>
      </w:r>
      <w:r w:rsidRPr="0017420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 xml:space="preserve">facilitate a consistent approach to 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 xml:space="preserve">understanding and </w:t>
      </w:r>
      <w:r w:rsidRPr="0017420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 xml:space="preserve">mapping 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advice services in Norfolk.</w:t>
      </w:r>
    </w:p>
    <w:p w:rsidR="00B73B56" w:rsidRPr="00174209" w:rsidRDefault="00B73B56" w:rsidP="00B73B56">
      <w:pPr>
        <w:pStyle w:val="header3"/>
        <w:spacing w:line="264" w:lineRule="auto"/>
        <w:rPr>
          <w:rFonts w:ascii="Arial" w:hAnsi="Arial" w:cs="Arial"/>
          <w:color w:val="404040" w:themeColor="text1" w:themeTint="BF"/>
          <w:szCs w:val="24"/>
        </w:rPr>
      </w:pPr>
      <w:r w:rsidRPr="00174209">
        <w:rPr>
          <w:rFonts w:ascii="Arial" w:hAnsi="Arial" w:cs="Arial"/>
          <w:color w:val="404040" w:themeColor="text1" w:themeTint="BF"/>
          <w:szCs w:val="24"/>
        </w:rPr>
        <w:t xml:space="preserve">Level 1: Information, assisted self-help and signposting </w:t>
      </w:r>
    </w:p>
    <w:p w:rsidR="00B73B56" w:rsidRPr="00174209" w:rsidRDefault="00B73B56" w:rsidP="00B73B56">
      <w:pPr>
        <w:spacing w:after="120" w:line="264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74209">
        <w:rPr>
          <w:rFonts w:ascii="Arial" w:hAnsi="Arial" w:cs="Arial"/>
          <w:color w:val="404040" w:themeColor="text1" w:themeTint="BF"/>
          <w:sz w:val="24"/>
          <w:szCs w:val="24"/>
        </w:rPr>
        <w:t xml:space="preserve">Providing: </w:t>
      </w:r>
    </w:p>
    <w:p w:rsidR="00B73B56" w:rsidRPr="00174209" w:rsidRDefault="00B73B56" w:rsidP="00B73B56">
      <w:pPr>
        <w:pStyle w:val="ListParagraph"/>
        <w:numPr>
          <w:ilvl w:val="0"/>
          <w:numId w:val="1"/>
        </w:numPr>
        <w:spacing w:line="264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74209">
        <w:rPr>
          <w:rFonts w:ascii="Arial" w:hAnsi="Arial" w:cs="Arial"/>
          <w:color w:val="404040" w:themeColor="text1" w:themeTint="BF"/>
          <w:sz w:val="24"/>
          <w:szCs w:val="24"/>
        </w:rPr>
        <w:t xml:space="preserve">leaflets or web based resources providing information about rights and entitlement; </w:t>
      </w:r>
    </w:p>
    <w:p w:rsidR="00B73B56" w:rsidRPr="00174209" w:rsidRDefault="00B73B56" w:rsidP="00B73B56">
      <w:pPr>
        <w:pStyle w:val="ListParagraph"/>
        <w:numPr>
          <w:ilvl w:val="0"/>
          <w:numId w:val="1"/>
        </w:numPr>
        <w:spacing w:line="264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74209">
        <w:rPr>
          <w:rFonts w:ascii="Arial" w:hAnsi="Arial" w:cs="Arial"/>
          <w:color w:val="404040" w:themeColor="text1" w:themeTint="BF"/>
          <w:sz w:val="24"/>
          <w:szCs w:val="24"/>
        </w:rPr>
        <w:t xml:space="preserve">access to information which will enable the client to take action to resolve the issue themselves, such as online resources and ‘how to’ guides; and/or </w:t>
      </w:r>
    </w:p>
    <w:p w:rsidR="00B73B56" w:rsidRDefault="00B73B56" w:rsidP="00B73B56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174209">
        <w:rPr>
          <w:rFonts w:ascii="Arial" w:hAnsi="Arial" w:cs="Arial"/>
          <w:color w:val="404040" w:themeColor="text1" w:themeTint="BF"/>
          <w:sz w:val="24"/>
          <w:szCs w:val="24"/>
        </w:rPr>
        <w:t>information</w:t>
      </w:r>
      <w:proofErr w:type="gramEnd"/>
      <w:r w:rsidRPr="00174209">
        <w:rPr>
          <w:rFonts w:ascii="Arial" w:hAnsi="Arial" w:cs="Arial"/>
          <w:color w:val="404040" w:themeColor="text1" w:themeTint="BF"/>
          <w:sz w:val="24"/>
          <w:szCs w:val="24"/>
        </w:rPr>
        <w:t xml:space="preserve"> and contact details for both national and local services and agencies who may be able to provide further sources of help or advice (signposting). </w:t>
      </w:r>
    </w:p>
    <w:p w:rsidR="00AD2DA3" w:rsidRPr="00AD2DA3" w:rsidRDefault="00AD2DA3" w:rsidP="00AD2DA3">
      <w:pPr>
        <w:pStyle w:val="header3"/>
        <w:spacing w:before="0" w:line="264" w:lineRule="auto"/>
        <w:rPr>
          <w:rFonts w:ascii="Arial" w:hAnsi="Arial" w:cs="Arial"/>
          <w:b w:val="0"/>
          <w:i/>
          <w:szCs w:val="24"/>
        </w:rPr>
      </w:pPr>
      <w:r w:rsidRPr="00AD2DA3">
        <w:rPr>
          <w:rFonts w:ascii="Arial" w:hAnsi="Arial" w:cs="Arial"/>
          <w:b w:val="0"/>
          <w:i/>
          <w:szCs w:val="24"/>
        </w:rPr>
        <w:t>Responsibility for taking any further action rests with the client.</w:t>
      </w:r>
    </w:p>
    <w:p w:rsidR="00B73B56" w:rsidRPr="00174209" w:rsidRDefault="00B73B56" w:rsidP="00B73B56">
      <w:pPr>
        <w:pStyle w:val="header3"/>
        <w:spacing w:line="264" w:lineRule="auto"/>
        <w:rPr>
          <w:rFonts w:ascii="Arial" w:hAnsi="Arial" w:cs="Arial"/>
          <w:color w:val="404040" w:themeColor="text1" w:themeTint="BF"/>
          <w:szCs w:val="24"/>
        </w:rPr>
      </w:pPr>
      <w:r w:rsidRPr="00174209">
        <w:rPr>
          <w:rFonts w:ascii="Arial" w:hAnsi="Arial" w:cs="Arial"/>
          <w:color w:val="404040" w:themeColor="text1" w:themeTint="BF"/>
          <w:szCs w:val="24"/>
        </w:rPr>
        <w:t>Level 2: One-off advice and assistance</w:t>
      </w:r>
    </w:p>
    <w:p w:rsidR="00B73B56" w:rsidRPr="00174209" w:rsidRDefault="00B73B56" w:rsidP="00B73B56">
      <w:pPr>
        <w:spacing w:after="120"/>
        <w:rPr>
          <w:rFonts w:ascii="Arial" w:hAnsi="Arial" w:cs="Arial"/>
          <w:color w:val="404040" w:themeColor="text1" w:themeTint="BF"/>
          <w:sz w:val="24"/>
          <w:szCs w:val="24"/>
        </w:rPr>
      </w:pPr>
      <w:r w:rsidRPr="00174209">
        <w:rPr>
          <w:rFonts w:ascii="Arial" w:hAnsi="Arial" w:cs="Arial"/>
          <w:color w:val="404040" w:themeColor="text1" w:themeTint="BF"/>
          <w:sz w:val="24"/>
          <w:szCs w:val="24"/>
        </w:rPr>
        <w:t>A service that involves</w:t>
      </w:r>
      <w:r w:rsidR="00AD2DA3"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Pr="0017420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B73B56" w:rsidRDefault="00B73B56" w:rsidP="00B73B56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174209">
        <w:rPr>
          <w:rFonts w:ascii="Arial" w:hAnsi="Arial" w:cs="Arial"/>
          <w:color w:val="404040" w:themeColor="text1" w:themeTint="BF"/>
          <w:sz w:val="24"/>
          <w:szCs w:val="24"/>
        </w:rPr>
        <w:t>giving information and explaining options</w:t>
      </w:r>
    </w:p>
    <w:p w:rsidR="00B73B56" w:rsidRPr="00520503" w:rsidRDefault="00B73B56" w:rsidP="00B73B56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520503">
        <w:rPr>
          <w:rFonts w:ascii="Arial" w:hAnsi="Arial" w:cs="Arial"/>
          <w:color w:val="404040" w:themeColor="text1" w:themeTint="BF"/>
          <w:sz w:val="24"/>
          <w:szCs w:val="24"/>
        </w:rPr>
        <w:t>in-depth</w:t>
      </w:r>
      <w:proofErr w:type="gramEnd"/>
      <w:r w:rsidRPr="00520503">
        <w:rPr>
          <w:rFonts w:ascii="Arial" w:hAnsi="Arial" w:cs="Arial"/>
          <w:color w:val="404040" w:themeColor="text1" w:themeTint="BF"/>
          <w:sz w:val="24"/>
          <w:szCs w:val="24"/>
        </w:rPr>
        <w:t xml:space="preserve"> diagnosis of the client’s enquiry and the legal issues involved, and gathering information to pass on to an in-house advisor or an external agency (referral). </w:t>
      </w:r>
    </w:p>
    <w:p w:rsidR="00B73B56" w:rsidRPr="00174209" w:rsidRDefault="00B73B56" w:rsidP="00B73B56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174209">
        <w:rPr>
          <w:rFonts w:ascii="Arial" w:hAnsi="Arial" w:cs="Arial"/>
          <w:color w:val="404040" w:themeColor="text1" w:themeTint="BF"/>
          <w:sz w:val="24"/>
          <w:szCs w:val="24"/>
        </w:rPr>
        <w:t>identifying further action the client can take</w:t>
      </w:r>
    </w:p>
    <w:p w:rsidR="00B73B56" w:rsidRPr="00174209" w:rsidRDefault="00B73B56" w:rsidP="00B73B56">
      <w:pPr>
        <w:pStyle w:val="ListParagraph"/>
        <w:numPr>
          <w:ilvl w:val="0"/>
          <w:numId w:val="2"/>
        </w:numPr>
        <w:spacing w:after="120"/>
        <w:ind w:left="357" w:hanging="357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174209">
        <w:rPr>
          <w:rFonts w:ascii="Arial" w:hAnsi="Arial" w:cs="Arial"/>
          <w:color w:val="404040" w:themeColor="text1" w:themeTint="BF"/>
          <w:sz w:val="24"/>
          <w:szCs w:val="24"/>
        </w:rPr>
        <w:t>practical</w:t>
      </w:r>
      <w:proofErr w:type="gramEnd"/>
      <w:r w:rsidRPr="00174209">
        <w:rPr>
          <w:rFonts w:ascii="Arial" w:hAnsi="Arial" w:cs="Arial"/>
          <w:color w:val="404040" w:themeColor="text1" w:themeTint="BF"/>
          <w:sz w:val="24"/>
          <w:szCs w:val="24"/>
        </w:rPr>
        <w:t xml:space="preserve"> support and assistance: e.g. contacting third parties to seek information; filling in forms.</w:t>
      </w:r>
    </w:p>
    <w:p w:rsidR="00B73B56" w:rsidRDefault="00B73B56" w:rsidP="00AD2DA3">
      <w:pPr>
        <w:pStyle w:val="body1"/>
        <w:spacing w:after="120" w:line="264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74209">
        <w:rPr>
          <w:rFonts w:ascii="Arial" w:hAnsi="Arial" w:cs="Arial"/>
          <w:color w:val="404040" w:themeColor="text1" w:themeTint="BF"/>
          <w:sz w:val="24"/>
          <w:szCs w:val="24"/>
        </w:rPr>
        <w:t xml:space="preserve">Examples include, help filling in benefit or tax credit forms; assistance with sorting out debt problems; advising on immigration rights. </w:t>
      </w:r>
    </w:p>
    <w:p w:rsidR="00AD2DA3" w:rsidRPr="00AC07B9" w:rsidRDefault="00AD2DA3" w:rsidP="00AD2DA3">
      <w:pPr>
        <w:pStyle w:val="header3"/>
        <w:spacing w:before="0" w:line="264" w:lineRule="auto"/>
        <w:rPr>
          <w:rFonts w:ascii="Arial" w:hAnsi="Arial" w:cs="Arial"/>
          <w:b w:val="0"/>
          <w:i/>
          <w:szCs w:val="24"/>
        </w:rPr>
      </w:pPr>
      <w:r w:rsidRPr="00AC07B9">
        <w:rPr>
          <w:rFonts w:ascii="Arial" w:hAnsi="Arial" w:cs="Arial"/>
          <w:b w:val="0"/>
          <w:i/>
          <w:szCs w:val="24"/>
        </w:rPr>
        <w:t>Responsibility for taking any further action rests with the client.</w:t>
      </w:r>
    </w:p>
    <w:p w:rsidR="00B73B56" w:rsidRPr="00174209" w:rsidRDefault="00B73B56" w:rsidP="00B73B56">
      <w:pPr>
        <w:pStyle w:val="header3"/>
        <w:spacing w:line="264" w:lineRule="auto"/>
        <w:rPr>
          <w:rFonts w:ascii="Arial" w:hAnsi="Arial" w:cs="Arial"/>
          <w:color w:val="404040" w:themeColor="text1" w:themeTint="BF"/>
          <w:szCs w:val="24"/>
        </w:rPr>
      </w:pPr>
      <w:r w:rsidRPr="00174209">
        <w:rPr>
          <w:rFonts w:ascii="Arial" w:hAnsi="Arial" w:cs="Arial"/>
          <w:color w:val="404040" w:themeColor="text1" w:themeTint="BF"/>
          <w:szCs w:val="24"/>
        </w:rPr>
        <w:t>Level 3: Advice with casework</w:t>
      </w:r>
    </w:p>
    <w:p w:rsidR="00B73B56" w:rsidRPr="00174209" w:rsidRDefault="00B73B56" w:rsidP="00B73B56">
      <w:pPr>
        <w:pStyle w:val="body1"/>
        <w:spacing w:after="120" w:line="264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74209">
        <w:rPr>
          <w:rFonts w:ascii="Arial" w:hAnsi="Arial" w:cs="Arial"/>
          <w:color w:val="404040" w:themeColor="text1" w:themeTint="BF"/>
          <w:sz w:val="24"/>
          <w:szCs w:val="24"/>
        </w:rPr>
        <w:t xml:space="preserve">A service that involves taking action on behalf of the client to move the case on, for example: </w:t>
      </w:r>
    </w:p>
    <w:p w:rsidR="00B73B56" w:rsidRPr="00174209" w:rsidRDefault="00B73B56" w:rsidP="00B73B56">
      <w:pPr>
        <w:pStyle w:val="body1"/>
        <w:numPr>
          <w:ilvl w:val="0"/>
          <w:numId w:val="3"/>
        </w:numPr>
        <w:spacing w:after="120" w:line="264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74209">
        <w:rPr>
          <w:rFonts w:ascii="Arial" w:hAnsi="Arial" w:cs="Arial"/>
          <w:color w:val="404040" w:themeColor="text1" w:themeTint="BF"/>
          <w:sz w:val="24"/>
          <w:szCs w:val="24"/>
        </w:rPr>
        <w:t>negotiating with third parties on the telephone, by letter or face-to-face</w:t>
      </w:r>
    </w:p>
    <w:p w:rsidR="00B73B56" w:rsidRPr="00174209" w:rsidRDefault="00B73B56" w:rsidP="00B73B56">
      <w:pPr>
        <w:pStyle w:val="body1"/>
        <w:numPr>
          <w:ilvl w:val="0"/>
          <w:numId w:val="3"/>
        </w:numPr>
        <w:spacing w:after="120" w:line="264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74209">
        <w:rPr>
          <w:rFonts w:ascii="Arial" w:hAnsi="Arial" w:cs="Arial"/>
          <w:color w:val="404040" w:themeColor="text1" w:themeTint="BF"/>
          <w:sz w:val="24"/>
          <w:szCs w:val="24"/>
        </w:rPr>
        <w:t xml:space="preserve">assisting the client in challenging decisions when rights in social welfare law have been refused and/or when a social care, health or educational service </w:t>
      </w:r>
      <w:r w:rsidRPr="00174209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has been denied, including gathering additional evidence, seeking a review of a decision (by telephone or letter), or preparing and submitting appeal documents.</w:t>
      </w:r>
    </w:p>
    <w:p w:rsidR="00B73B56" w:rsidRPr="00AD2DA3" w:rsidRDefault="00B73B56" w:rsidP="00B73B56">
      <w:pPr>
        <w:pStyle w:val="body1"/>
        <w:spacing w:line="264" w:lineRule="auto"/>
        <w:rPr>
          <w:rFonts w:ascii="Arial" w:hAnsi="Arial" w:cs="Arial"/>
          <w:i/>
          <w:color w:val="404040" w:themeColor="text1" w:themeTint="BF"/>
          <w:sz w:val="24"/>
          <w:szCs w:val="24"/>
        </w:rPr>
      </w:pPr>
      <w:r w:rsidRPr="00AD2DA3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The advice provider takes responsibility for following through with the case and assessing and advising the client on the merits (likely outcome) of the case. </w:t>
      </w:r>
    </w:p>
    <w:p w:rsidR="00B73B56" w:rsidRPr="00174209" w:rsidRDefault="00B73B56" w:rsidP="00B73B56">
      <w:pPr>
        <w:pStyle w:val="header3"/>
        <w:spacing w:line="264" w:lineRule="auto"/>
        <w:rPr>
          <w:rFonts w:ascii="Arial" w:hAnsi="Arial" w:cs="Arial"/>
          <w:color w:val="404040" w:themeColor="text1" w:themeTint="BF"/>
          <w:szCs w:val="24"/>
        </w:rPr>
      </w:pPr>
      <w:r w:rsidRPr="00174209">
        <w:rPr>
          <w:rFonts w:ascii="Arial" w:hAnsi="Arial" w:cs="Arial"/>
          <w:color w:val="404040" w:themeColor="text1" w:themeTint="BF"/>
          <w:szCs w:val="24"/>
        </w:rPr>
        <w:t>Level 4: Representation</w:t>
      </w:r>
    </w:p>
    <w:p w:rsidR="00B73B56" w:rsidRPr="00174209" w:rsidRDefault="00B73B56" w:rsidP="00B73B56">
      <w:pPr>
        <w:pStyle w:val="header3"/>
        <w:spacing w:before="0" w:line="264" w:lineRule="auto"/>
        <w:rPr>
          <w:rFonts w:ascii="Arial" w:hAnsi="Arial" w:cs="Arial"/>
          <w:b w:val="0"/>
          <w:color w:val="404040" w:themeColor="text1" w:themeTint="BF"/>
          <w:szCs w:val="24"/>
        </w:rPr>
      </w:pPr>
      <w:r w:rsidRPr="00174209">
        <w:rPr>
          <w:rFonts w:ascii="Arial" w:hAnsi="Arial" w:cs="Arial"/>
          <w:b w:val="0"/>
          <w:color w:val="404040" w:themeColor="text1" w:themeTint="BF"/>
          <w:szCs w:val="24"/>
        </w:rPr>
        <w:t xml:space="preserve">The presentation of complex legal arguments, including: </w:t>
      </w:r>
    </w:p>
    <w:p w:rsidR="00B73B56" w:rsidRPr="00174209" w:rsidRDefault="00B73B56" w:rsidP="00B73B56">
      <w:pPr>
        <w:pStyle w:val="header3"/>
        <w:numPr>
          <w:ilvl w:val="0"/>
          <w:numId w:val="4"/>
        </w:numPr>
        <w:spacing w:before="0" w:line="264" w:lineRule="auto"/>
        <w:rPr>
          <w:rFonts w:ascii="Arial" w:hAnsi="Arial" w:cs="Arial"/>
          <w:b w:val="0"/>
          <w:color w:val="404040" w:themeColor="text1" w:themeTint="BF"/>
          <w:szCs w:val="24"/>
        </w:rPr>
      </w:pPr>
      <w:r w:rsidRPr="00174209">
        <w:rPr>
          <w:rFonts w:ascii="Arial" w:hAnsi="Arial" w:cs="Arial"/>
          <w:b w:val="0"/>
          <w:color w:val="404040" w:themeColor="text1" w:themeTint="BF"/>
          <w:szCs w:val="24"/>
        </w:rPr>
        <w:t xml:space="preserve">Acting for and representing a client at court and tribunal hearings, e.g. preparing and presenting written and oral submissions at hearings at Employment Tribunals, Social Security Appeal Tribunals, County Court and High Court. </w:t>
      </w:r>
    </w:p>
    <w:p w:rsidR="00B73B56" w:rsidRPr="00174209" w:rsidRDefault="00B73B56" w:rsidP="00B73B56">
      <w:pPr>
        <w:pStyle w:val="header3"/>
        <w:numPr>
          <w:ilvl w:val="0"/>
          <w:numId w:val="4"/>
        </w:numPr>
        <w:spacing w:before="0" w:line="264" w:lineRule="auto"/>
        <w:ind w:left="714" w:hanging="357"/>
        <w:rPr>
          <w:rFonts w:ascii="Arial" w:hAnsi="Arial" w:cs="Arial"/>
          <w:b w:val="0"/>
          <w:color w:val="404040" w:themeColor="text1" w:themeTint="BF"/>
          <w:szCs w:val="24"/>
        </w:rPr>
      </w:pPr>
      <w:r w:rsidRPr="00174209">
        <w:rPr>
          <w:rFonts w:ascii="Arial" w:hAnsi="Arial" w:cs="Arial"/>
          <w:b w:val="0"/>
          <w:color w:val="404040" w:themeColor="text1" w:themeTint="BF"/>
          <w:szCs w:val="24"/>
        </w:rPr>
        <w:t>Preparing applications to a higher court or tribunal (e.g. judicial review) and preparing arguments to develop the case using relevant case law, guidance and statute.</w:t>
      </w:r>
    </w:p>
    <w:p w:rsidR="00B73B56" w:rsidRPr="00174209" w:rsidRDefault="00B73B56" w:rsidP="00B73B56">
      <w:pPr>
        <w:pStyle w:val="header3"/>
        <w:numPr>
          <w:ilvl w:val="0"/>
          <w:numId w:val="4"/>
        </w:numPr>
        <w:spacing w:before="0" w:line="264" w:lineRule="auto"/>
        <w:ind w:left="714" w:hanging="357"/>
        <w:rPr>
          <w:rFonts w:ascii="Arial" w:hAnsi="Arial" w:cs="Arial"/>
          <w:b w:val="0"/>
          <w:color w:val="404040" w:themeColor="text1" w:themeTint="BF"/>
          <w:szCs w:val="24"/>
        </w:rPr>
      </w:pPr>
      <w:r w:rsidRPr="00174209">
        <w:rPr>
          <w:rFonts w:ascii="Arial" w:hAnsi="Arial" w:cs="Arial"/>
          <w:b w:val="0"/>
          <w:color w:val="404040" w:themeColor="text1" w:themeTint="BF"/>
          <w:szCs w:val="24"/>
        </w:rPr>
        <w:t xml:space="preserve">Calling on expert evidence and instructing other experts, such as barristers, for representation at hearings. </w:t>
      </w:r>
    </w:p>
    <w:p w:rsidR="00B73B56" w:rsidRPr="00174209" w:rsidRDefault="00B73B56" w:rsidP="00B73B56">
      <w:pPr>
        <w:pStyle w:val="header3"/>
        <w:numPr>
          <w:ilvl w:val="0"/>
          <w:numId w:val="4"/>
        </w:numPr>
        <w:spacing w:before="0" w:line="264" w:lineRule="auto"/>
        <w:ind w:left="714" w:hanging="357"/>
        <w:rPr>
          <w:rFonts w:ascii="Arial" w:hAnsi="Arial" w:cs="Arial"/>
          <w:b w:val="0"/>
          <w:color w:val="404040" w:themeColor="text1" w:themeTint="BF"/>
          <w:szCs w:val="24"/>
        </w:rPr>
      </w:pPr>
      <w:r w:rsidRPr="00174209">
        <w:rPr>
          <w:rFonts w:ascii="Arial" w:hAnsi="Arial" w:cs="Arial"/>
          <w:b w:val="0"/>
          <w:color w:val="404040" w:themeColor="text1" w:themeTint="BF"/>
          <w:szCs w:val="24"/>
        </w:rPr>
        <w:t xml:space="preserve">Negotiating with the other side to a dispute or with relevant third parties in complex matters. </w:t>
      </w:r>
    </w:p>
    <w:p w:rsidR="000A179D" w:rsidRPr="00AD2DA3" w:rsidRDefault="00B73B56" w:rsidP="00B73B56">
      <w:pPr>
        <w:rPr>
          <w:rFonts w:ascii="Arial" w:hAnsi="Arial" w:cs="Arial"/>
          <w:i/>
          <w:color w:val="404040" w:themeColor="text1" w:themeTint="BF"/>
          <w:sz w:val="24"/>
          <w:szCs w:val="24"/>
        </w:rPr>
      </w:pPr>
      <w:r w:rsidRPr="00AD2DA3">
        <w:rPr>
          <w:rFonts w:ascii="Arial" w:hAnsi="Arial" w:cs="Arial"/>
          <w:i/>
          <w:color w:val="404040" w:themeColor="text1" w:themeTint="BF"/>
          <w:sz w:val="24"/>
          <w:szCs w:val="24"/>
        </w:rPr>
        <w:t>The advice provider takes responsibility for following through with the case and assessing and advising the client on the merits (likely outcome) of the case.</w:t>
      </w:r>
    </w:p>
    <w:p w:rsidR="006A3045" w:rsidRPr="006A3045" w:rsidRDefault="006A3045" w:rsidP="006A3045">
      <w:pPr>
        <w:pStyle w:val="ncanheader2"/>
        <w:numPr>
          <w:ilvl w:val="0"/>
          <w:numId w:val="0"/>
        </w:numPr>
        <w:ind w:left="426" w:hanging="426"/>
        <w:rPr>
          <w:color w:val="404040" w:themeColor="text1" w:themeTint="BF"/>
          <w:sz w:val="32"/>
        </w:rPr>
      </w:pPr>
      <w:r w:rsidRPr="006A3045">
        <w:rPr>
          <w:color w:val="404040" w:themeColor="text1" w:themeTint="BF"/>
          <w:sz w:val="32"/>
        </w:rPr>
        <w:t>Other support</w:t>
      </w:r>
    </w:p>
    <w:p w:rsidR="006A3045" w:rsidRPr="00174209" w:rsidRDefault="006A3045" w:rsidP="006A3045">
      <w:pPr>
        <w:pStyle w:val="header3"/>
        <w:spacing w:line="264" w:lineRule="auto"/>
        <w:rPr>
          <w:rFonts w:ascii="Arial" w:hAnsi="Arial" w:cs="Arial"/>
          <w:color w:val="404040" w:themeColor="text1" w:themeTint="BF"/>
          <w:szCs w:val="24"/>
        </w:rPr>
      </w:pPr>
      <w:r>
        <w:rPr>
          <w:rFonts w:ascii="Arial" w:hAnsi="Arial" w:cs="Arial"/>
          <w:color w:val="404040" w:themeColor="text1" w:themeTint="BF"/>
          <w:szCs w:val="24"/>
        </w:rPr>
        <w:t>Issue based</w:t>
      </w:r>
      <w:r w:rsidRPr="00174209">
        <w:rPr>
          <w:rFonts w:ascii="Arial" w:hAnsi="Arial" w:cs="Arial"/>
          <w:color w:val="404040" w:themeColor="text1" w:themeTint="BF"/>
          <w:szCs w:val="24"/>
        </w:rPr>
        <w:t xml:space="preserve"> Advocacy </w:t>
      </w:r>
    </w:p>
    <w:p w:rsidR="006A3045" w:rsidRPr="006A3045" w:rsidRDefault="006A3045" w:rsidP="006A3045">
      <w:pPr>
        <w:pStyle w:val="header3"/>
        <w:spacing w:before="0" w:line="264" w:lineRule="auto"/>
        <w:rPr>
          <w:rFonts w:ascii="Arial" w:hAnsi="Arial" w:cs="Arial"/>
          <w:b w:val="0"/>
          <w:szCs w:val="24"/>
        </w:rPr>
      </w:pPr>
      <w:r w:rsidRPr="00174209">
        <w:rPr>
          <w:rFonts w:ascii="Arial" w:hAnsi="Arial" w:cs="Arial"/>
          <w:b w:val="0"/>
          <w:color w:val="404040" w:themeColor="text1" w:themeTint="BF"/>
          <w:szCs w:val="24"/>
        </w:rPr>
        <w:t xml:space="preserve">Supporting and enabling a client to secure and exercise their legal rights, including access to services, </w:t>
      </w:r>
      <w:r w:rsidRPr="006A3045">
        <w:rPr>
          <w:rFonts w:ascii="Arial" w:hAnsi="Arial" w:cs="Arial"/>
          <w:b w:val="0"/>
          <w:szCs w:val="22"/>
        </w:rPr>
        <w:t xml:space="preserve">with regard to the main areas of social welfare legal advice listed above, whether this be provided by a volunteer or by a paid member of staff. </w:t>
      </w:r>
      <w:r w:rsidRPr="006A3045">
        <w:rPr>
          <w:rFonts w:ascii="Arial" w:hAnsi="Arial" w:cs="Arial"/>
          <w:b w:val="0"/>
          <w:szCs w:val="24"/>
        </w:rPr>
        <w:t xml:space="preserve">It can also include accompanying a client at court or tribunal hearing in a support capacity (as opposed to a representative capacity) and providing language support. </w:t>
      </w:r>
    </w:p>
    <w:p w:rsidR="006A3045" w:rsidRPr="00174209" w:rsidRDefault="006A3045" w:rsidP="006A3045">
      <w:pPr>
        <w:pStyle w:val="header3"/>
        <w:spacing w:before="0" w:line="264" w:lineRule="auto"/>
        <w:rPr>
          <w:rFonts w:ascii="Arial" w:hAnsi="Arial" w:cs="Arial"/>
          <w:b w:val="0"/>
          <w:color w:val="404040" w:themeColor="text1" w:themeTint="BF"/>
          <w:szCs w:val="24"/>
        </w:rPr>
      </w:pPr>
      <w:r w:rsidRPr="00174209">
        <w:rPr>
          <w:rFonts w:ascii="Arial" w:hAnsi="Arial" w:cs="Arial"/>
          <w:b w:val="0"/>
          <w:color w:val="404040" w:themeColor="text1" w:themeTint="BF"/>
          <w:szCs w:val="24"/>
        </w:rPr>
        <w:t xml:space="preserve">This level covers those instances where the help is provided by a support worker who is not qualified to provide legal advice, but who advocates on behalf of the client </w:t>
      </w:r>
      <w:proofErr w:type="gramStart"/>
      <w:r w:rsidRPr="00174209">
        <w:rPr>
          <w:rFonts w:ascii="Arial" w:hAnsi="Arial" w:cs="Arial"/>
          <w:b w:val="0"/>
          <w:color w:val="404040" w:themeColor="text1" w:themeTint="BF"/>
          <w:szCs w:val="24"/>
        </w:rPr>
        <w:t>to</w:t>
      </w:r>
      <w:proofErr w:type="gramEnd"/>
      <w:r w:rsidRPr="00174209">
        <w:rPr>
          <w:rFonts w:ascii="Arial" w:hAnsi="Arial" w:cs="Arial"/>
          <w:b w:val="0"/>
          <w:color w:val="404040" w:themeColor="text1" w:themeTint="BF"/>
          <w:szCs w:val="24"/>
        </w:rPr>
        <w:t xml:space="preserve"> enable them to access the services and help they need. It is particularly relevant for specialist advice agencies working with clients with special needs. </w:t>
      </w:r>
    </w:p>
    <w:p w:rsidR="006A3045" w:rsidRPr="00174209" w:rsidRDefault="006A3045" w:rsidP="006A3045">
      <w:pPr>
        <w:pStyle w:val="header3"/>
        <w:spacing w:line="264" w:lineRule="auto"/>
        <w:rPr>
          <w:rFonts w:ascii="Arial" w:hAnsi="Arial" w:cs="Arial"/>
          <w:color w:val="404040" w:themeColor="text1" w:themeTint="BF"/>
          <w:szCs w:val="24"/>
        </w:rPr>
      </w:pPr>
      <w:r w:rsidRPr="00174209">
        <w:rPr>
          <w:rFonts w:ascii="Arial" w:hAnsi="Arial" w:cs="Arial"/>
          <w:color w:val="404040" w:themeColor="text1" w:themeTint="BF"/>
          <w:szCs w:val="24"/>
        </w:rPr>
        <w:t xml:space="preserve">Preventative education and support </w:t>
      </w:r>
    </w:p>
    <w:p w:rsidR="006A3045" w:rsidRPr="008872EA" w:rsidRDefault="006A3045" w:rsidP="008872EA">
      <w:pPr>
        <w:pStyle w:val="header3"/>
        <w:spacing w:before="0" w:line="264" w:lineRule="auto"/>
        <w:rPr>
          <w:rFonts w:ascii="Arial" w:hAnsi="Arial" w:cs="Arial"/>
          <w:b w:val="0"/>
          <w:color w:val="404040" w:themeColor="text1" w:themeTint="BF"/>
          <w:szCs w:val="22"/>
        </w:rPr>
      </w:pPr>
      <w:r w:rsidRPr="00174209">
        <w:rPr>
          <w:rFonts w:ascii="Arial" w:hAnsi="Arial" w:cs="Arial"/>
          <w:b w:val="0"/>
          <w:color w:val="404040" w:themeColor="text1" w:themeTint="BF"/>
          <w:szCs w:val="22"/>
        </w:rPr>
        <w:t xml:space="preserve">An information, advice or support service where clients receive personal, tailored support to help avoid a crisis situation or to educate the client with regard to the main areas of social welfare legal advice listed above. This might include, for example, budgeting sessions or employability training. </w:t>
      </w:r>
    </w:p>
    <w:sectPr w:rsidR="006A3045" w:rsidRPr="008872EA" w:rsidSect="008872EA">
      <w:pgSz w:w="11906" w:h="16838"/>
      <w:pgMar w:top="107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B6F"/>
    <w:multiLevelType w:val="hybridMultilevel"/>
    <w:tmpl w:val="76C60BE2"/>
    <w:lvl w:ilvl="0" w:tplc="480ED5F4">
      <w:start w:val="1"/>
      <w:numFmt w:val="decimal"/>
      <w:pStyle w:val="ncanheader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6195"/>
    <w:multiLevelType w:val="hybridMultilevel"/>
    <w:tmpl w:val="C136E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2B27"/>
    <w:multiLevelType w:val="hybridMultilevel"/>
    <w:tmpl w:val="81645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52BE"/>
    <w:multiLevelType w:val="hybridMultilevel"/>
    <w:tmpl w:val="0D30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05C8"/>
    <w:multiLevelType w:val="hybridMultilevel"/>
    <w:tmpl w:val="FCC26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6"/>
    <w:rsid w:val="000A179D"/>
    <w:rsid w:val="006A3045"/>
    <w:rsid w:val="00750BAD"/>
    <w:rsid w:val="008872EA"/>
    <w:rsid w:val="009E5440"/>
    <w:rsid w:val="00A53CD3"/>
    <w:rsid w:val="00AD2DA3"/>
    <w:rsid w:val="00B73B56"/>
    <w:rsid w:val="00BB20E0"/>
    <w:rsid w:val="00C94BDE"/>
    <w:rsid w:val="00D31FF5"/>
    <w:rsid w:val="00D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75097-0DE9-43FB-8CFA-C86D0355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B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3">
    <w:name w:val="header 3"/>
    <w:basedOn w:val="Normal"/>
    <w:qFormat/>
    <w:rsid w:val="00B73B56"/>
    <w:pPr>
      <w:shd w:val="clear" w:color="auto" w:fill="FFFFFF"/>
      <w:spacing w:before="360" w:after="120" w:line="240" w:lineRule="auto"/>
    </w:pPr>
    <w:rPr>
      <w:rFonts w:ascii="Verdana" w:eastAsia="Times New Roman" w:hAnsi="Verdana" w:cs="Times New Roman"/>
      <w:b/>
      <w:color w:val="000000" w:themeColor="text1"/>
      <w:sz w:val="24"/>
      <w:szCs w:val="23"/>
      <w:lang w:eastAsia="en-GB"/>
    </w:rPr>
  </w:style>
  <w:style w:type="paragraph" w:customStyle="1" w:styleId="body1">
    <w:name w:val="body 1"/>
    <w:basedOn w:val="Normal"/>
    <w:qFormat/>
    <w:rsid w:val="00B73B56"/>
    <w:pPr>
      <w:shd w:val="clear" w:color="auto" w:fill="FFFFFF"/>
      <w:spacing w:after="0" w:line="240" w:lineRule="auto"/>
    </w:pPr>
    <w:rPr>
      <w:rFonts w:ascii="Verdana" w:eastAsia="Times New Roman" w:hAnsi="Verdana" w:cs="Times New Roman"/>
      <w:color w:val="000000" w:themeColor="text1"/>
      <w:sz w:val="23"/>
      <w:szCs w:val="23"/>
      <w:lang w:eastAsia="en-GB"/>
    </w:rPr>
  </w:style>
  <w:style w:type="paragraph" w:styleId="ListParagraph">
    <w:name w:val="List Paragraph"/>
    <w:basedOn w:val="Normal"/>
    <w:uiPriority w:val="34"/>
    <w:qFormat/>
    <w:rsid w:val="00B73B56"/>
    <w:pPr>
      <w:ind w:left="720"/>
      <w:contextualSpacing/>
    </w:pPr>
  </w:style>
  <w:style w:type="paragraph" w:customStyle="1" w:styleId="ncanheader2">
    <w:name w:val="ncan header 2"/>
    <w:basedOn w:val="Normal"/>
    <w:qFormat/>
    <w:rsid w:val="00B73B56"/>
    <w:pPr>
      <w:numPr>
        <w:numId w:val="5"/>
      </w:numPr>
      <w:shd w:val="clear" w:color="auto" w:fill="FFFFFF"/>
      <w:spacing w:before="360" w:after="120" w:line="264" w:lineRule="auto"/>
      <w:ind w:left="426" w:hanging="426"/>
      <w:contextualSpacing/>
    </w:pPr>
    <w:rPr>
      <w:rFonts w:ascii="Arial" w:eastAsia="Times New Roman" w:hAnsi="Arial" w:cs="Arial"/>
      <w:b/>
      <w:iCs/>
      <w:color w:val="000000" w:themeColor="text1"/>
      <w:sz w:val="2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Emily Balsdon</cp:lastModifiedBy>
  <cp:revision>9</cp:revision>
  <dcterms:created xsi:type="dcterms:W3CDTF">2015-01-13T15:07:00Z</dcterms:created>
  <dcterms:modified xsi:type="dcterms:W3CDTF">2019-06-20T10:39:00Z</dcterms:modified>
</cp:coreProperties>
</file>